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ghc-th-lift 0.8.4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Ian Lynagh, 2006; Mathieu Boespflug, 2010-2019; Ryan Scott 2019.</w:t>
        <w:br/>
      </w:r>
    </w:p>
    <w:p>
      <w:pPr>
        <w:spacing w:line="420" w:lineRule="exact"/>
        <w:rPr>
          <w:rFonts w:hint="eastAsia"/>
        </w:rPr>
      </w:pPr>
      <w:r>
        <w:rPr>
          <w:rFonts w:ascii="Arial" w:hAnsi="Arial"/>
          <w:b/>
          <w:sz w:val="24"/>
        </w:rPr>
        <w:t xml:space="preserve">License: </w:t>
      </w:r>
      <w:r>
        <w:rPr>
          <w:rFonts w:ascii="Arial" w:hAnsi="Arial"/>
          <w:sz w:val="21"/>
        </w:rPr>
        <w:t>(BSD-3-Clause OR GPL-2.0-only)</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