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perl-Net-DNS-Resolver-Programmable 0.009</w:t>
      </w:r>
    </w:p>
    <w:p>
      <w:pPr/>
      <w:r>
        <w:rPr>
          <w:rStyle w:val="13"/>
          <w:rFonts w:ascii="Arial" w:hAnsi="Arial"/>
          <w:b/>
        </w:rPr>
        <w:t xml:space="preserve">Copyright notice: </w:t>
      </w:r>
    </w:p>
    <w:p>
      <w:pPr/>
      <w:r>
        <w:rPr>
          <w:rStyle w:val="13"/>
          <w:rFonts w:ascii="宋体" w:hAnsi="宋体"/>
          <w:sz w:val="22"/>
        </w:rPr>
        <w:t>Copyright (c) 2006, 2008 Junio C Hamano</w:t>
        <w:br/>
        <w:t>(C) 2006-2007 Julian Mehnle &lt;julian@mehnle.net&gt;</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 or Artistic</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